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spacing w:val="20"/>
          <w:sz w:val="22"/>
          <w:szCs w:val="22"/>
          <w:lang w:val="en-US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lang w:val="en-US"/>
        </w:rPr>
      </w:pPr>
      <w:r>
        <w:rPr>
          <w:caps/>
          <w:spacing w:val="20"/>
          <w:sz w:val="15"/>
          <w:szCs w:val="15"/>
          <w:lang w:val="en-US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lang w:val="en-US"/>
        </w:rPr>
      </w:pPr>
      <w:r>
        <w:rPr>
          <w:spacing w:val="50"/>
          <w:lang w:val="en-US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 xml:space="preserve">– 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6"/>
          <w:szCs w:val="26"/>
          <w:lang w:val="en-US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  <w:lang w:val="en-US"/>
        </w:rPr>
      </w:pPr>
      <w:r>
        <w:rPr>
          <w:b/>
          <w:color w:val="000000"/>
          <w:sz w:val="28"/>
          <w:szCs w:val="24"/>
          <w:lang w:val="en-US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  <w:lang w:val="en-US"/>
        </w:rPr>
      </w:pPr>
      <w:r>
        <w:rPr>
          <w:b/>
          <w:iCs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>РАБОЧАЯ ПРОГРАММА УЧЕБНОЙ ДИСЦИПЛИНЫ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000000"/>
                <w:sz w:val="28"/>
                <w:szCs w:val="28"/>
                <w:lang w:val="en-US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en-US"/>
              </w:rPr>
              <w:t>Физика ядерных реакторов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для </w:t>
            </w:r>
            <w:r>
              <w:rPr>
                <w:color w:val="000000"/>
                <w:sz w:val="28"/>
                <w:szCs w:val="28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  <w:lang w:val="en-US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г. Обнинск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 г.</w:t>
      </w:r>
    </w:p>
    <w:p>
      <w:pPr>
        <w:pStyle w:val="Normal"/>
        <w:spacing w:lineRule="auto" w:line="276"/>
        <w:jc w:val="center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3686"/>
        <w:gridCol w:w="4394"/>
      </w:tblGrid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9" w:hanging="0"/>
              <w:jc w:val="both"/>
              <w:rPr>
                <w:rStyle w:val="IntenseEmphasis"/>
                <w:b w:val="false"/>
                <w:b w:val="false"/>
                <w:sz w:val="28"/>
                <w:szCs w:val="28"/>
              </w:rPr>
            </w:pPr>
            <w:r>
              <w:rPr>
                <w:rStyle w:val="IntenseEmphasis"/>
                <w:b w:val="false"/>
                <w:sz w:val="28"/>
                <w:szCs w:val="28"/>
              </w:rPr>
              <w:t>ПК-10</w:t>
            </w:r>
          </w:p>
          <w:p>
            <w:pPr>
              <w:pStyle w:val="Normal"/>
              <w:widowControl w:val="false"/>
              <w:ind w:left="29" w:hanging="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Fonts w:eastAsia="" w:eastAsiaTheme="minorEastAsia"/>
                <w:i w:val="false"/>
                <w:sz w:val="28"/>
                <w:szCs w:val="28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Готовность участвовать в испытаниях и определении работоспособности установленного и ремонтируемого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kern w:val="2"/>
                <w:sz w:val="28"/>
                <w:szCs w:val="28"/>
              </w:rPr>
            </w:pPr>
            <w:bookmarkStart w:id="1" w:name="_GoBack"/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Знать: </w:t>
            </w:r>
            <w:r>
              <w:rPr>
                <w:kern w:val="2"/>
                <w:sz w:val="28"/>
                <w:szCs w:val="28"/>
              </w:rPr>
              <w:t>основные закономерности методик выполнения измерений, расчетов и технологических</w:t>
            </w:r>
          </w:p>
          <w:p>
            <w:pPr>
              <w:pStyle w:val="Style97"/>
              <w:widowControl w:val="false"/>
              <w:spacing w:lineRule="auto" w:lin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процессов</w:t>
            </w:r>
          </w:p>
          <w:p>
            <w:pPr>
              <w:pStyle w:val="Normal"/>
              <w:widowControl w:val="false"/>
              <w:rPr>
                <w:i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Уметь: применять о</w:t>
            </w:r>
            <w:r>
              <w:rPr>
                <w:iCs/>
                <w:kern w:val="2"/>
                <w:sz w:val="28"/>
                <w:szCs w:val="28"/>
              </w:rPr>
              <w:t>сновные закономерности связанные с контролем</w:t>
            </w:r>
          </w:p>
          <w:p>
            <w:pPr>
              <w:pStyle w:val="Normal"/>
              <w:widowControl w:val="false"/>
              <w:rPr>
                <w:iCs/>
                <w:kern w:val="2"/>
                <w:sz w:val="28"/>
                <w:szCs w:val="28"/>
              </w:rPr>
            </w:pPr>
            <w:r>
              <w:rPr>
                <w:iCs/>
                <w:kern w:val="2"/>
                <w:sz w:val="28"/>
                <w:szCs w:val="28"/>
              </w:rPr>
              <w:t>обеспечения ядерной безопасности при эксплуатации, перегрузке,</w:t>
            </w:r>
          </w:p>
          <w:p>
            <w:pPr>
              <w:pStyle w:val="Style97"/>
              <w:widowControl w:val="false"/>
              <w:spacing w:lineRule="auto" w:line="240"/>
              <w:rPr>
                <w:kern w:val="2"/>
              </w:rPr>
            </w:pPr>
            <w:r>
              <w:rPr>
                <w:iCs/>
                <w:kern w:val="2"/>
                <w:sz w:val="28"/>
                <w:szCs w:val="28"/>
              </w:rPr>
              <w:t>хранении и транспортировке ядерного топлива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 xml:space="preserve">Владеть: </w:t>
            </w:r>
            <w:r>
              <w:rPr>
                <w:iCs/>
                <w:kern w:val="2"/>
                <w:sz w:val="28"/>
                <w:szCs w:val="28"/>
              </w:rPr>
              <w:t>методами нейтронно-физического расчета ядерных установок, расчета распределения нейтронного поля, энерговыделения, изменения изотопного состава и температур;</w:t>
            </w:r>
            <w:bookmarkEnd w:id="1"/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2" w:name="bookmark4"/>
      <w:r>
        <w:rPr>
          <w:rStyle w:val="FontStyle140"/>
        </w:rPr>
        <w:t>2</w:t>
      </w:r>
      <w:bookmarkEnd w:id="2"/>
      <w:r>
        <w:rPr>
          <w:rStyle w:val="FontStyle140"/>
        </w:rPr>
        <w:t xml:space="preserve">. Место дисциплины в структуре ООП бакалавриата 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38"/>
          <w:color w:val="0070C0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>
        <w:rPr>
          <w:rStyle w:val="FontStyle142"/>
          <w:color w:val="000000" w:themeColor="text1"/>
          <w:sz w:val="28"/>
          <w:szCs w:val="28"/>
        </w:rPr>
        <w:t xml:space="preserve">вариативной части. 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технический английский язык, ядерная физика, ядерные технологии.</w:t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изучается </w:t>
      </w:r>
      <w:r>
        <w:rPr>
          <w:rStyle w:val="FontStyle142"/>
          <w:color w:val="000000" w:themeColor="text1"/>
          <w:sz w:val="28"/>
          <w:szCs w:val="28"/>
        </w:rPr>
        <w:t xml:space="preserve">на 3 </w:t>
      </w:r>
      <w:r>
        <w:rPr>
          <w:rStyle w:val="FontStyle142"/>
          <w:sz w:val="28"/>
          <w:szCs w:val="28"/>
        </w:rPr>
        <w:t>курсе.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>
      <w:pPr>
        <w:pStyle w:val="Style221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2957" w:leader="underscore"/>
          <w:tab w:val="left" w:pos="9182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Общая трудоемкость (объем) дисциплины составляет 2 зачетных единиц (з.е.), 72 академических часов.</w:t>
      </w:r>
    </w:p>
    <w:p>
      <w:pPr>
        <w:pStyle w:val="Style51"/>
        <w:widowControl/>
        <w:ind w:left="4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ind w:left="4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ind w:left="4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ind w:left="4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ind w:left="42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3.1. Объём дисциплины по видам учебных занятий (в часах)</w:t>
      </w:r>
    </w:p>
    <w:p>
      <w:pPr>
        <w:pStyle w:val="Style99"/>
        <w:widowControl/>
        <w:spacing w:lineRule="auto" w:line="240"/>
        <w:ind w:hanging="0"/>
        <w:rPr>
          <w:rStyle w:val="FontStyle138"/>
          <w:i w:val="false"/>
          <w:i w:val="false"/>
          <w:color w:val="FF0000"/>
          <w:sz w:val="28"/>
          <w:szCs w:val="28"/>
        </w:rPr>
      </w:pPr>
      <w:r>
        <w:rPr>
          <w:i w:val="false"/>
          <w:color w:val="FF0000"/>
          <w:sz w:val="28"/>
          <w:szCs w:val="28"/>
        </w:rPr>
      </w:r>
    </w:p>
    <w:tbl>
      <w:tblPr>
        <w:tblW w:w="47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63"/>
        <w:gridCol w:w="1450"/>
        <w:gridCol w:w="1412"/>
      </w:tblGrid>
      <w:tr>
        <w:trPr>
          <w:trHeight w:val="57" w:hRule="atLeast"/>
        </w:trPr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обучения</w:t>
            </w:r>
          </w:p>
        </w:tc>
      </w:tr>
      <w:tr>
        <w:trPr>
          <w:trHeight w:val="57" w:hRule="atLeast"/>
        </w:trPr>
        <w:tc>
          <w:tcPr>
            <w:tcW w:w="6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>
        <w:trPr>
          <w:trHeight w:val="57" w:hRule="atLeast"/>
        </w:trPr>
        <w:tc>
          <w:tcPr>
            <w:tcW w:w="6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>
        <w:trPr>
          <w:trHeight w:val="57" w:hRule="atLeast"/>
        </w:trPr>
        <w:tc>
          <w:tcPr>
            <w:tcW w:w="6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>
        <w:trPr>
          <w:trHeight w:val="57" w:hRule="atLeast"/>
        </w:trPr>
        <w:tc>
          <w:tcPr>
            <w:tcW w:w="6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контрольным работам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зачету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экзамену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</w:t>
            </w:r>
          </w:p>
        </w:tc>
      </w:tr>
      <w:tr>
        <w:trPr>
          <w:trHeight w:val="57" w:hRule="atLeast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>
      <w:pPr>
        <w:pStyle w:val="Style99"/>
        <w:widowControl/>
        <w:spacing w:lineRule="auto" w:line="240"/>
        <w:ind w:hanging="0"/>
        <w:rPr>
          <w:rStyle w:val="FontStyle138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(в академических часах)</w:t>
      </w:r>
    </w:p>
    <w:p>
      <w:pPr>
        <w:pStyle w:val="Style51"/>
        <w:widowControl/>
        <w:jc w:val="center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9"/>
        <w:gridCol w:w="2552"/>
        <w:gridCol w:w="1275"/>
        <w:gridCol w:w="851"/>
        <w:gridCol w:w="1134"/>
        <w:gridCol w:w="851"/>
        <w:gridCol w:w="850"/>
        <w:gridCol w:w="1560"/>
      </w:tblGrid>
      <w:tr>
        <w:trPr/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Общая трудоём- кость всего</w:t>
            </w:r>
          </w:p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2"/>
                <w:rFonts w:eastAsia="" w:eastAsiaTheme="minorEastAsia"/>
                <w:sz w:val="28"/>
                <w:szCs w:val="28"/>
              </w:rPr>
            </w:pPr>
            <w:r>
              <w:rPr>
                <w:rStyle w:val="FontStyle122"/>
                <w:rFonts w:eastAsia="" w:eastAsiaTheme="minorEastAsia"/>
                <w:sz w:val="28"/>
                <w:szCs w:val="28"/>
              </w:rPr>
              <w:t>(в часах)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Style w:val="FontStyle12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Виды учебных занятий, включая самостоятельную работу обучающихся и трудоемкость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i/>
                <w:sz w:val="28"/>
                <w:szCs w:val="28"/>
              </w:rPr>
              <w:t>(в часах)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Формы текущего контроля успевае-мости</w:t>
            </w:r>
          </w:p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>
          <w:trHeight w:val="616" w:hRule="atLeast"/>
        </w:trPr>
        <w:tc>
          <w:tcPr>
            <w:tcW w:w="709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27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sz w:val="28"/>
                <w:szCs w:val="28"/>
              </w:rPr>
              <w:t>СРО</w:t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2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Style w:val="FontStyle125"/>
                <w:rFonts w:eastAsia="" w:eastAsiaTheme="minorEastAsia"/>
                <w:sz w:val="28"/>
                <w:szCs w:val="28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Style w:val="FontStyle125"/>
                <w:rFonts w:eastAsia="" w:eastAsiaTheme="minorEastAsia"/>
                <w:sz w:val="28"/>
                <w:szCs w:val="28"/>
              </w:rPr>
              <w:t>Сем/Пр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Style w:val="FontStyle125"/>
                <w:rFonts w:eastAsia="" w:eastAsiaTheme="minorEastAsia"/>
                <w:sz w:val="28"/>
                <w:szCs w:val="28"/>
              </w:rPr>
              <w:t>Лаб</w:t>
            </w:r>
          </w:p>
        </w:tc>
        <w:tc>
          <w:tcPr>
            <w:tcW w:w="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Ядерный реактор как источник энергии и ионизирующего излучения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Основные конструктивные особенности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Особенности ЯР в привязке к компоновке АЭС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Ядерные реакции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Цепная реакция. Коэффициент размножения.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Ядерный реактор. Энерговыделение в активной зоне.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Физические процессы, сопровождающие работу ядерного реактора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Выгорание ядерного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Воспроизводство ядерного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Зашлаковывание ядерного топлива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 и нестационарное отравление реактора ксеноном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самарием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Эффекты реактивности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Кампания реактора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  <w:lang w:val="en-US"/>
              </w:rPr>
            </w:pPr>
            <w:r>
              <w:rPr>
                <w:rFonts w:eastAsia=""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Style51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Сем/Пр – семинары, практические занятия, Лаб – лабораторные занятия, СРО – самостоятельная работа обучающихся</w:t>
      </w:r>
    </w:p>
    <w:p>
      <w:pPr>
        <w:pStyle w:val="Style51"/>
        <w:widowControl/>
        <w:jc w:val="center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3" w:name="bookmark6"/>
      <w:r>
        <w:rPr>
          <w:rStyle w:val="FontStyle141"/>
          <w:sz w:val="28"/>
          <w:szCs w:val="28"/>
        </w:rPr>
        <w:t>4</w:t>
      </w:r>
      <w:bookmarkEnd w:id="3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5"/>
        <w:gridCol w:w="2716"/>
        <w:gridCol w:w="6380"/>
      </w:tblGrid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Ядерный реактор как источник энергии и ионизирующего излучения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Основные конструктивные особенности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Принцип работы АЭС на примере реакторной установки ВВЭР-1000. Основные технологические параметры и особенности внутриреакторной компоновки оборудования.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Особенности ЯР в привязке к компоновке АЭС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Основное оборудование первого и второго контуров ядерного реактора на примере установки ВВЭР-1000. Особенности компоновки оборудования и пути увеличения характеристик показателей АЭС в целом.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Ядерные реакции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Типы взаимодействий нейтронов с ядрами среды. Обзор величин, описывающих ядерные реакции.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Цепная реакция. Коэффициент размножения.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Понятие цепной ядерной реакции. Необходимые условия существования самоподдерживающейся цепной реакции деления (СЦР). Спектр нейтронов в реакторе ВВЭР, РБМК и реакторов типа БН. Схема замедления и диффузии нейтронов. Геометрические и материальные параметры сред. Схемы размножения нейтронов.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Ядерный реактор. Энерговыделение в активной зоне.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Тепловой поток. Удельная топливная мощность. Удельная объемная мощность. Распределение энерговыделения по активной зоне. Эффективная добавка. Профилирование топлива.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Физические процессы, сопровождающие работу ядерного реактора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Выгорание ядерного топлива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Ядерное топливо. Выгорание ядерного топлива. Удельное энеговыделение (удельная энерговыработка). Компания топлива.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Воспроизводство ядерного топлива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Коэффициент воспроизводства. Коэффициент конверсии. Топливный цикл. Выгорание тяжелых ядер. Время удвоения топлива.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Зашлаковывание ядерного топлива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Обзор продуктов деления. Выделения осколков деления в группы «отравителей». Концентрация осколков деления. Особенности отравителей.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реактора ксеноном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Динамика установления стационарного отравления Хе. Зависимость стационарного отравления Хе от эксплуатационных характеристик ЯР. Нестационарное отравление реактора Хе при увеличении и снижении мощности ЯР. Время разотравления ЯР.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самарием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 xml:space="preserve">Динамика установления стационарного отравления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  <w:lang w:val="en-US"/>
              </w:rPr>
              <w:t>Sm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 xml:space="preserve">. Зависимость стационарного отравления 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  <w:lang w:val="en-US"/>
              </w:rPr>
              <w:t>Sm</w:t>
            </w:r>
            <w:r>
              <w:rPr>
                <w:rStyle w:val="FontStyle134"/>
                <w:rFonts w:eastAsia="" w:eastAsiaTheme="minorEastAsia"/>
                <w:b w:val="false"/>
                <w:sz w:val="22"/>
                <w:szCs w:val="22"/>
              </w:rPr>
              <w:t xml:space="preserve"> от эксплуатационных характеристик ЯР. Нестационарное отравление реактора Хе при увеличении и снижении мощности ЯР. Динамика отравления ЯР самарием.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Эффекты реактивности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Температурный коэффициент реактивности. Характерные зависимости температурных эффектов реактивности для различных типов ЯР. Нептуниевый и натриевой пустотный эффекты реактивности в реакторах БН.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Кампания реактора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Номинальная мощность. Перегрузка активной зоны.  Энерговыработка. Определение оставшегося энергозапаса.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/>
      </w:pPr>
      <w:r>
        <w:rPr>
          <w:rStyle w:val="FontStyle130"/>
          <w:rFonts w:eastAsia="" w:eastAsiaTheme="minorEastAsia"/>
          <w:sz w:val="28"/>
          <w:szCs w:val="28"/>
        </w:rPr>
        <w:t>Практические/семинарские занятия</w:t>
      </w:r>
    </w:p>
    <w:tbl>
      <w:tblPr>
        <w:tblW w:w="97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85"/>
        <w:gridCol w:w="2716"/>
        <w:gridCol w:w="6383"/>
      </w:tblGrid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9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Ядерный реактор как источник энергии и ионизирующего излучения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Ядерные реакции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Определение длин рассеяния, поглощения и переноса. Определение отношения масс тяжелых ядер. Оценка количества делений и радиационного захвата.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Цепная реакция. Коэффициент размножения.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Оценка вероятности столкновения нейтронов между собой в топливе. Определение плотности потока нейтронов. Оценка вероятности утечки нейтронов.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Ядерный реактор. Энерговыделение в активной зоне.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Определение коэффициента неравномерности энерговыделения по объему, радиусу и высоте активной зоны. Определение средней по объему активной зоне плотности потока нейтронов при различной загрузке ЯР топливом.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9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Физические процессы, сопровождающие работу ядерного реактора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Выгорание ядерного топлива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Определение удельного и полного расхода топлива, глубины выгорания, удельный и полный расход топлива. Учет числа перегрузок АР топливом.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Воспроизводство ядерного топлива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Оценка вклада каждого делящегося нуклида в энерговыработку АЭС. Оценка наработки вторичных делящихся изотопов в ЯР.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Зашлаковывание ядерного топлива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Оценка скорости наработки шлаков с учетом и без учета наработки вторичных тяжелых изотопов.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2.4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реактора ксеноном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Оценка отравления ЯР ксеноном после выведения реактора на мощность. Оценка времени работы реактора на постоянном уровне мощности с учетом отравления ЯР ксеноном. Оценка возможности выведения ЯР на номинальный уровень мощности после внепланового останова.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самарием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Оценка отравления ЯР самарием после выведения реактора на мощность. Оценка времени работы реактора на постоянном уровне мощности с учетом отравления ЯР ксеноном. Понятие прометьевого провала.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2.6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Эффекты реактивности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Изменение запаса реактивности и динамических свойств ядерного реактора при проявлении различных эффектов реактивности.</w:t>
            </w:r>
          </w:p>
        </w:tc>
      </w:tr>
      <w:tr>
        <w:trPr/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2.7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Кампания реактора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Поиск путей повышения энергозапаса за счет изменения нейтронно-физических характеристик активной зоны ЯР.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numPr>
          <w:ilvl w:val="0"/>
          <w:numId w:val="1"/>
        </w:numPr>
        <w:suppressAutoHyphens w:val="true"/>
        <w:spacing w:lineRule="auto" w:line="24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Презентации курса;</w:t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Style51"/>
        <w:widowControl/>
        <w:ind w:left="42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9"/>
        <w:gridCol w:w="3543"/>
        <w:gridCol w:w="2977"/>
        <w:gridCol w:w="2693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 xml:space="preserve">№ </w:t>
            </w: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Зачет по разделу №1:</w:t>
            </w: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 xml:space="preserve"> «</w:t>
            </w: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Ядерный реактор как источник энергии и ионизирующего излучения</w:t>
            </w: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9" w:hanging="0"/>
              <w:jc w:val="both"/>
              <w:rPr>
                <w:rStyle w:val="IntenseEmphasis"/>
                <w:b w:val="false"/>
                <w:b w:val="false"/>
                <w:sz w:val="28"/>
                <w:szCs w:val="28"/>
              </w:rPr>
            </w:pPr>
            <w:r>
              <w:rPr>
                <w:rStyle w:val="IntenseEmphasis"/>
                <w:b w:val="false"/>
                <w:sz w:val="28"/>
                <w:szCs w:val="28"/>
              </w:rPr>
              <w:t xml:space="preserve">ПК-10 - </w:t>
            </w:r>
            <w:r>
              <w:rPr>
                <w:kern w:val="2"/>
                <w:sz w:val="28"/>
                <w:szCs w:val="28"/>
              </w:rPr>
              <w:t>готовность участвовать в испытаниях и определении работоспособности установленного и ремонтируемого оборудования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Вопросы к зачету.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>
      <w:pPr>
        <w:pStyle w:val="Style23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6.2.1. Зачет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вопросы: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реакции нейтрона с ядром.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микросечения.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 каких единицах измеряются микросечения?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микросечение и макросечение одного нуклида?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макросечение и длина свободного пробега?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Нарисуйте примерную зависимость микросечений от энергии.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энергии выделяется в акте деления?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нейтронов выделяется в акте деления (примерно)?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 каких единицах измеряется плотность потока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плотность потока и ток нейтронов (закон Фика)?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Нарисуйте примерную зависимость спектра нейтронов от Е.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Какова средняя энергия нейтронов деления?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тепловая точка (в электрон- Вольтах)?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летаргия и энергия?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Каковы характерные величины потоков в тепловых реакторах?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Каковы характерные величины потоков в быстрых реакторах?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флюэнс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выражение для ступеньки замедления.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Запишите уравнение диффузии (в любой известной форме).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Чему равен коэффициент диффузии?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физический смысл длины диффузии.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коэффициент размножения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отличается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эфф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rFonts w:eastAsia="Symbol" w:cs="Symbol" w:ascii="Symbol" w:hAnsi="Symbol"/>
          <w:sz w:val="28"/>
          <w:szCs w:val="28"/>
          <w:vertAlign w:val="superscript"/>
          <w:lang w:val="en-US"/>
        </w:rPr>
        <w:t></w:t>
      </w:r>
      <w:r>
        <w:rPr>
          <w:sz w:val="28"/>
          <w:szCs w:val="28"/>
        </w:rPr>
        <w:t>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условие критичности реактора через геометрический и материальный параметры.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в реактор вводится отражатель?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с реактором, если его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эфф</w:t>
      </w:r>
      <w:r>
        <w:rPr>
          <w:sz w:val="28"/>
          <w:szCs w:val="28"/>
        </w:rPr>
        <w:t xml:space="preserve"> &gt; 1?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с реактором, если его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эфф</w:t>
      </w:r>
      <w:r>
        <w:rPr>
          <w:sz w:val="28"/>
          <w:szCs w:val="28"/>
        </w:rPr>
        <w:t xml:space="preserve"> &lt; 1 и </w:t>
      </w:r>
      <w:r>
        <w:rPr>
          <w:sz w:val="28"/>
          <w:szCs w:val="28"/>
          <w:lang w:val="en-US"/>
        </w:rPr>
        <w:t>k</w:t>
      </w:r>
      <w:r>
        <w:rPr>
          <w:rFonts w:eastAsia="Symbol" w:cs="Symbol" w:ascii="Symbol" w:hAnsi="Symbol"/>
          <w:sz w:val="28"/>
          <w:szCs w:val="28"/>
          <w:vertAlign w:val="superscript"/>
          <w:lang w:val="en-US"/>
        </w:rPr>
        <w:t></w:t>
      </w:r>
      <w:r>
        <w:rPr>
          <w:sz w:val="28"/>
          <w:szCs w:val="28"/>
        </w:rPr>
        <w:t xml:space="preserve"> &gt; 1?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реактивность?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 чём измеряется реактивность?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rFonts w:eastAsia="Symbol" w:cs="Symbol" w:ascii="Symbol" w:hAnsi="Symbol"/>
          <w:sz w:val="28"/>
          <w:szCs w:val="28"/>
        </w:rPr>
        <w:t></w:t>
      </w:r>
      <w:r>
        <w:rPr>
          <w:sz w:val="28"/>
          <w:szCs w:val="28"/>
        </w:rPr>
        <w:t>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формулу четырёх сомножителей.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возраст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 чём измеряется возраст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Зачем в реактор вводится замедлитель?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каком замедлителе потеря энергии наибольшая?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Какой замедлитель является наилучшим?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упругое и неупругое рассеяния?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невозможна цепная реакция на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Чему равно сечение разбавления?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путь образования </w:t>
      </w:r>
      <w:r>
        <w:rPr>
          <w:sz w:val="28"/>
          <w:szCs w:val="28"/>
          <w:vertAlign w:val="superscript"/>
        </w:rPr>
        <w:t>239</w:t>
      </w:r>
      <w:r>
        <w:rPr>
          <w:sz w:val="28"/>
          <w:szCs w:val="28"/>
          <w:lang w:val="en-US"/>
        </w:rPr>
        <w:t>Pu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vertAlign w:val="superscript"/>
        </w:rPr>
        <w:t>238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путь образования </w:t>
      </w:r>
      <w:r>
        <w:rPr>
          <w:sz w:val="28"/>
          <w:szCs w:val="28"/>
          <w:vertAlign w:val="superscript"/>
        </w:rPr>
        <w:t>233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vertAlign w:val="superscript"/>
        </w:rPr>
        <w:t>232</w:t>
      </w:r>
      <w:r>
        <w:rPr>
          <w:sz w:val="28"/>
          <w:szCs w:val="28"/>
          <w:lang w:val="en-US"/>
        </w:rPr>
        <w:t>Th</w:t>
      </w:r>
      <w:r>
        <w:rPr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Каково обогащение природного урана?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типы распадов.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в природе плутоний?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активность?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Меняются ли микросечения в ходе выгорания?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Меняется ли поток в ходе выгорания?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рассчитать ядерную концентрацию циркония?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рассчитать ядерные концентрации изотопов в </w:t>
      </w:r>
      <w:r>
        <w:rPr>
          <w:sz w:val="28"/>
          <w:szCs w:val="28"/>
          <w:lang w:val="en-US"/>
        </w:rPr>
        <w:t>UO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меняется со временем концентрация </w:t>
      </w:r>
      <w:r>
        <w:rPr>
          <w:sz w:val="28"/>
          <w:szCs w:val="28"/>
          <w:vertAlign w:val="superscript"/>
        </w:rPr>
        <w:t>235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если поток постоянен?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меняется со временем концентрация </w:t>
      </w:r>
      <w:r>
        <w:rPr>
          <w:sz w:val="28"/>
          <w:szCs w:val="28"/>
          <w:vertAlign w:val="superscript"/>
        </w:rPr>
        <w:t>235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если мощность постоянна?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рассчитать массу изотопа, зная его концентрацию и объём реактора?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коэффициент воспроизводства?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КВ от КК?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Нарисуйте распределение осколков деления по массам.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осколков образуется в акте деления?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деление от аннигиляции?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Какие эффекты реактивности вы знаете?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Меняется ли площадь резонанса при Доплер-эффекте?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Меняется ли высота резонанса при Доплер-эффекте?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вам не нравится в </w:t>
      </w:r>
      <w:r>
        <w:rPr>
          <w:sz w:val="28"/>
          <w:szCs w:val="28"/>
          <w:vertAlign w:val="superscript"/>
        </w:rPr>
        <w:t>240</w:t>
      </w:r>
      <w:r>
        <w:rPr>
          <w:sz w:val="28"/>
          <w:szCs w:val="28"/>
          <w:lang w:val="en-US"/>
        </w:rPr>
        <w:t>Pu</w:t>
      </w:r>
      <w:r>
        <w:rPr>
          <w:sz w:val="28"/>
          <w:szCs w:val="28"/>
        </w:rPr>
        <w:t>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мощность реактора и поток?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больше: концентрация ядер или концентрация нейтронов?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Взаимодействуют ли нейтроны друг с другом?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Важно ли учитывать внешний источник при расчёте реакторов с большой мощностью?</w:t>
      </w:r>
    </w:p>
    <w:p>
      <w:pPr>
        <w:pStyle w:val="Normal"/>
        <w:widowControl/>
        <w:numPr>
          <w:ilvl w:val="0"/>
          <w:numId w:val="2"/>
        </w:numPr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отличаются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эфф</w:t>
      </w:r>
      <w:r>
        <w:rPr>
          <w:sz w:val="28"/>
          <w:szCs w:val="28"/>
        </w:rPr>
        <w:t xml:space="preserve"> двух реакторов, работающих стационарно на мощности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и 0,5*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соответственно?</w:t>
      </w:r>
    </w:p>
    <w:p>
      <w:pPr>
        <w:pStyle w:val="ListParagraph"/>
        <w:widowControl/>
        <w:spacing w:lineRule="auto" w:line="276" w:before="0" w:after="200"/>
        <w:ind w:left="1070" w:hanging="0"/>
        <w:contextualSpacing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В критерии оценки знаний по зачету входят: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 </w:t>
      </w:r>
      <w:r>
        <w:rPr>
          <w:rStyle w:val="FontStyle138"/>
          <w:i w:val="false"/>
          <w:sz w:val="28"/>
          <w:szCs w:val="28"/>
        </w:rPr>
        <w:t>1.уровень освоения студентом материала, предусмотренного учебной программой;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 </w:t>
      </w:r>
      <w:r>
        <w:rPr>
          <w:rStyle w:val="FontStyle138"/>
          <w:i w:val="false"/>
          <w:sz w:val="28"/>
          <w:szCs w:val="28"/>
        </w:rPr>
        <w:t xml:space="preserve">2. полнота и правильность ответа, степень осознанности, понимания изученного;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4. ответы на дополнительные вопросы. 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W w:w="99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49"/>
        <w:gridCol w:w="7132"/>
      </w:tblGrid>
      <w:tr>
        <w:trPr/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>
        <w:trPr/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глубокое и прочное усвоение знаний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исчерпывающе, последовательно, грамотно и логически стройно изложить теоретический материал;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формулировать определения;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умения самостоятельной работы с литературой;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сделать выводы по излагаемому материалу.</w:t>
            </w:r>
          </w:p>
        </w:tc>
      </w:tr>
      <w:tr>
        <w:trPr/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Хорошо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достаточно полное знание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знание основных теоретических понятий;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последовательно, грамотно и логически стройно излагать материал;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умение ориентироваться в литературе;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сделать достаточно обоснованные выводы по излагаемому материалу.</w:t>
            </w:r>
          </w:p>
        </w:tc>
      </w:tr>
      <w:tr>
        <w:trPr/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Удовлетворительно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25-29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общее знание изучаемого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общее владение понятийным аппаратом дисциплины;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основную рекомендуемую программой учебную литературу.</w:t>
            </w:r>
          </w:p>
        </w:tc>
      </w:tr>
      <w:tr>
        <w:trPr/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Неудовлетворительно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и меньше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демонстрирует: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незнание значительной части программного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владение понятийным аппаратом дисциплины;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существенные ошибки при изложении учебного материала;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неумение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неумение делать выводы по излагаемому материалу.</w:t>
            </w:r>
          </w:p>
        </w:tc>
      </w:tr>
    </w:tbl>
    <w:p>
      <w:pPr>
        <w:pStyle w:val="Style23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6.2.2 Контрольная работа №1  </w:t>
      </w:r>
    </w:p>
    <w:p>
      <w:pPr>
        <w:pStyle w:val="Style23"/>
        <w:widowControl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задания  - образец: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1353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      </w:t>
      </w:r>
      <w:r>
        <w:rPr>
          <w:rStyle w:val="FontStyle137"/>
          <w:sz w:val="28"/>
          <w:szCs w:val="28"/>
        </w:rPr>
        <w:t>Вариант 0</w:t>
      </w:r>
    </w:p>
    <w:p>
      <w:pPr>
        <w:pStyle w:val="Style18"/>
        <w:widowControl/>
        <w:numPr>
          <w:ilvl w:val="0"/>
          <w:numId w:val="3"/>
        </w:numPr>
        <w:tabs>
          <w:tab w:val="clear" w:pos="720"/>
          <w:tab w:val="left" w:pos="540" w:leader="none"/>
        </w:tabs>
        <w:spacing w:before="0" w:after="0"/>
        <w:ind w:left="540" w:hanging="360"/>
        <w:rPr>
          <w:sz w:val="28"/>
          <w:szCs w:val="28"/>
        </w:rPr>
      </w:pPr>
      <w:r>
        <w:rPr>
          <w:sz w:val="28"/>
          <w:szCs w:val="28"/>
        </w:rPr>
        <w:t>Электрическая мощность АЭС 1ГВт. Какая масса осколков деления накапливается в топливе за один год работы? Насколько отличается масса осколков от массы разделившихся ядер? При делении выделяется 200 МэВ энергии. КПД=32%.</w:t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6"/>
        </w:rPr>
        <w:t>Чему равняется полное макроскопическое сечение взаимодействия тепловых нейтронов с ядрами гомогенной смеси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-235) = 18 г/см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-9) = 1.8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-235) = 0.3, 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-9) = 0.7. 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Найти длину миграции нейтрона при замедлении от энергии Е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 МэВ до энергии Е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=0,025 эВ, в следующей среде: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-235) = 18 г/см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γ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-9) = 1.8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-235) = 0.3, 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-9) = 0.7.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 критерии оценки знаний на контрольной работе входят: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1.знание теоретического материала;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2. умение применить данные знания при решении практических задач;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умение проанализировать полученный результат.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1 оценивается в 6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2 оценивается в 7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3 оценивается в 7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23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6.2.3 Контрольная работа №2 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задания  - образец:</w:t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Вариант 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</w:rPr>
      </w:pPr>
      <w:r>
        <w:rPr>
          <w:sz w:val="26"/>
        </w:rPr>
        <w:t>1. Найти вероятность избежать резонансного захвата в процессе замедления, при температуре замедлителя:</w:t>
      </w:r>
    </w:p>
    <w:p>
      <w:pPr>
        <w:pStyle w:val="Normal"/>
        <w:rPr>
          <w:sz w:val="26"/>
        </w:rPr>
      </w:pPr>
      <w:r>
        <w:rPr>
          <w:sz w:val="26"/>
        </w:rPr>
        <w:t>а) Т</w:t>
      </w:r>
      <w:r>
        <w:rPr>
          <w:sz w:val="26"/>
          <w:vertAlign w:val="subscript"/>
        </w:rPr>
        <w:t>зам</w:t>
      </w:r>
      <w:r>
        <w:rPr>
          <w:sz w:val="26"/>
        </w:rPr>
        <w:t>=300</w:t>
      </w:r>
      <w:r>
        <w:rPr>
          <w:sz w:val="26"/>
          <w:vertAlign w:val="superscript"/>
        </w:rPr>
        <w:t>о</w:t>
      </w:r>
      <w:r>
        <w:rPr>
          <w:sz w:val="26"/>
        </w:rPr>
        <w:t xml:space="preserve">К ; </w:t>
      </w:r>
    </w:p>
    <w:p>
      <w:pPr>
        <w:pStyle w:val="Normal"/>
        <w:rPr>
          <w:sz w:val="26"/>
        </w:rPr>
      </w:pPr>
      <w:r>
        <w:rPr>
          <w:sz w:val="26"/>
        </w:rPr>
        <w:t>б) Т</w:t>
      </w:r>
      <w:r>
        <w:rPr>
          <w:sz w:val="26"/>
          <w:vertAlign w:val="subscript"/>
        </w:rPr>
        <w:t>зам</w:t>
      </w:r>
      <w:r>
        <w:rPr>
          <w:sz w:val="26"/>
        </w:rPr>
        <w:t>=600</w:t>
      </w:r>
      <w:r>
        <w:rPr>
          <w:sz w:val="26"/>
          <w:vertAlign w:val="superscript"/>
        </w:rPr>
        <w:t>о</w:t>
      </w:r>
      <w:r>
        <w:rPr>
          <w:sz w:val="26"/>
        </w:rPr>
        <w:t xml:space="preserve">К ; </w:t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sz w:val="26"/>
        </w:rPr>
        <w:t>в среде из гомогенной смеси урана и Н</w:t>
      </w:r>
      <w:r>
        <w:rPr>
          <w:sz w:val="26"/>
          <w:vertAlign w:val="subscript"/>
        </w:rPr>
        <w:t>2</w:t>
      </w:r>
      <w:r>
        <w:rPr>
          <w:sz w:val="26"/>
        </w:rPr>
        <w:t xml:space="preserve">О с объемными долями и обогащением по </w:t>
      </w:r>
      <w:r>
        <w:rPr>
          <w:sz w:val="26"/>
          <w:lang w:val="en-US"/>
        </w:rPr>
        <w:t>U</w:t>
      </w:r>
      <w:r>
        <w:rPr>
          <w:sz w:val="26"/>
          <w:vertAlign w:val="superscript"/>
        </w:rPr>
        <w:t>235</w:t>
      </w:r>
      <w:r>
        <w:rPr>
          <w:sz w:val="26"/>
        </w:rPr>
        <w:t xml:space="preserve">. </w:t>
      </w:r>
      <w:r>
        <w:rPr>
          <w:sz w:val="26"/>
          <w:lang w:val="en-US"/>
        </w:rPr>
        <w:t>X</w:t>
      </w:r>
      <w:r>
        <w:rPr>
          <w:sz w:val="26"/>
        </w:rPr>
        <w:t>(</w:t>
      </w:r>
      <w:r>
        <w:rPr>
          <w:sz w:val="26"/>
          <w:lang w:val="en-US"/>
        </w:rPr>
        <w:t>U</w:t>
      </w:r>
      <w:r>
        <w:rPr>
          <w:sz w:val="26"/>
        </w:rPr>
        <w:t xml:space="preserve">-235) = 3.5% , </w:t>
      </w:r>
      <w:r>
        <w:rPr>
          <w:sz w:val="26"/>
          <w:lang w:val="en-US"/>
        </w:rPr>
        <w:t>V</w:t>
      </w:r>
      <w:r>
        <w:rPr>
          <w:sz w:val="26"/>
          <w:vertAlign w:val="subscript"/>
          <w:lang w:val="en-US"/>
        </w:rPr>
        <w:t>U</w:t>
      </w:r>
      <w:r>
        <w:rPr>
          <w:sz w:val="26"/>
        </w:rPr>
        <w:t xml:space="preserve"> = 0,335, </w:t>
      </w:r>
      <w:r>
        <w:rPr>
          <w:sz w:val="26"/>
          <w:vertAlign w:val="subscript"/>
        </w:rPr>
        <w:t xml:space="preserve"> </w:t>
      </w:r>
      <w:r>
        <w:rPr>
          <w:sz w:val="26"/>
          <w:lang w:val="en-US"/>
        </w:rPr>
        <w:t>V</w:t>
      </w:r>
      <w:r>
        <w:rPr>
          <w:sz w:val="26"/>
          <w:vertAlign w:val="subscript"/>
          <w:lang w:val="en-US"/>
        </w:rPr>
        <w:t>H</w:t>
      </w:r>
      <w:r>
        <w:rPr>
          <w:sz w:val="18"/>
          <w:vertAlign w:val="subscript"/>
        </w:rPr>
        <w:t>2</w:t>
      </w:r>
      <w:r>
        <w:rPr>
          <w:sz w:val="26"/>
          <w:vertAlign w:val="subscript"/>
          <w:lang w:val="en-US"/>
        </w:rPr>
        <w:t>O</w:t>
      </w:r>
      <w:r>
        <w:rPr>
          <w:sz w:val="26"/>
        </w:rPr>
        <w:t xml:space="preserve"> = 0,665. </w:t>
      </w:r>
      <w:r>
        <w:rPr>
          <w:rFonts w:eastAsia="Symbol" w:cs="Symbol" w:ascii="Symbol" w:hAnsi="Symbol"/>
          <w:sz w:val="30"/>
        </w:rPr>
        <w:t></w:t>
      </w:r>
      <w:r>
        <w:rPr>
          <w:sz w:val="30"/>
          <w:vertAlign w:val="subscript"/>
          <w:lang w:val="en-US"/>
        </w:rPr>
        <w:t>U</w:t>
      </w:r>
      <w:r>
        <w:rPr>
          <w:sz w:val="30"/>
        </w:rPr>
        <w:t xml:space="preserve"> = 19 г/см</w:t>
      </w:r>
      <w:r>
        <w:rPr>
          <w:sz w:val="30"/>
          <w:vertAlign w:val="superscript"/>
        </w:rPr>
        <w:t>3</w:t>
      </w:r>
      <w:r>
        <w:rPr>
          <w:sz w:val="30"/>
        </w:rPr>
        <w:t xml:space="preserve">, </w:t>
      </w:r>
      <w:r>
        <w:rPr>
          <w:rFonts w:eastAsia="Symbol" w:cs="Symbol" w:ascii="Symbol" w:hAnsi="Symbol"/>
          <w:sz w:val="30"/>
        </w:rPr>
        <w:t></w:t>
      </w:r>
      <w:r>
        <w:rPr>
          <w:sz w:val="30"/>
          <w:vertAlign w:val="subscript"/>
        </w:rPr>
        <w:t>H</w:t>
      </w:r>
      <w:r>
        <w:rPr>
          <w:sz w:val="18"/>
          <w:vertAlign w:val="subscript"/>
        </w:rPr>
        <w:t>2</w:t>
      </w:r>
      <w:r>
        <w:rPr>
          <w:sz w:val="30"/>
          <w:vertAlign w:val="subscript"/>
          <w:lang w:val="en-US"/>
        </w:rPr>
        <w:t>O</w:t>
      </w:r>
      <w:r>
        <w:rPr>
          <w:sz w:val="30"/>
        </w:rPr>
        <w:t xml:space="preserve"> = 1.01 г/см</w:t>
      </w:r>
      <w:r>
        <w:rPr>
          <w:sz w:val="30"/>
          <w:vertAlign w:val="superscript"/>
        </w:rPr>
        <w:t>3</w:t>
      </w:r>
      <w:r>
        <w:rPr>
          <w:sz w:val="3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Найти коэффициент размножения на быстрых нейтронах</w:t>
      </w:r>
      <w:r>
        <w:rPr>
          <w:sz w:val="26"/>
        </w:rPr>
        <w:t xml:space="preserve">. В среде </w:t>
      </w:r>
      <w:r>
        <w:rPr>
          <w:lang w:val="en-US"/>
        </w:rPr>
        <w:t>γ</w:t>
      </w:r>
      <w:r>
        <w:rPr/>
        <w:t xml:space="preserve"> (</w:t>
      </w:r>
      <w:r>
        <w:rPr>
          <w:lang w:val="en-US"/>
        </w:rPr>
        <w:t>UO</w:t>
      </w:r>
      <w:r>
        <w:rPr>
          <w:vertAlign w:val="subscript"/>
        </w:rPr>
        <w:t>2</w:t>
      </w:r>
      <w:r>
        <w:rPr/>
        <w:t>) = 10.4 г/см</w:t>
      </w:r>
      <w:r>
        <w:rPr>
          <w:vertAlign w:val="superscript"/>
        </w:rPr>
        <w:t>3</w:t>
      </w:r>
      <w:r>
        <w:rPr/>
        <w:t xml:space="preserve">. </w:t>
      </w:r>
      <w:r>
        <w:rPr>
          <w:lang w:val="en-US"/>
        </w:rPr>
        <w:t>x</w:t>
      </w:r>
      <w:r>
        <w:rPr/>
        <w:t xml:space="preserve"> (</w:t>
      </w:r>
      <w:r>
        <w:rPr>
          <w:lang w:val="en-US"/>
        </w:rPr>
        <w:t>U</w:t>
      </w:r>
      <w:r>
        <w:rPr/>
        <w:t>-235) = 2 %.</w:t>
      </w:r>
    </w:p>
    <w:p>
      <w:pPr>
        <w:pStyle w:val="Normal"/>
        <w:rPr/>
      </w:pPr>
      <w:r>
        <w:rPr/>
      </w:r>
    </w:p>
    <w:p>
      <w:pPr>
        <w:pStyle w:val="Normal"/>
        <w:rPr>
          <w:rStyle w:val="FontStyle137"/>
          <w:sz w:val="26"/>
          <w:szCs w:val="24"/>
        </w:rPr>
      </w:pPr>
      <w:r>
        <w:rPr/>
        <w:t xml:space="preserve">3. </w:t>
      </w:r>
      <w:r>
        <w:rPr>
          <w:rStyle w:val="FontStyle137"/>
          <w:sz w:val="28"/>
          <w:szCs w:val="28"/>
        </w:rPr>
        <w:t xml:space="preserve">Рассчитайте групповое макросечение замедления  и его вклад в макросечение увода при замедлении на ядрах водорода в зависимости от ширины энергетической группы. Рассмотреть область энергий вблизи 100 эВ (микросечения взять из справочников).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 критерии оценки знаний на контрольной работе входят: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1.знание теоретического материала;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2. умение применить данные знания при решении практических задач;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умение проанализировать полученный результат. 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1 оценивается в 10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2 оценивается в 10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142" w:firstLine="42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Задача 3 оценивается в 10 баллов, если правильно написаны формулы, найдены  правильные значения из таблиц данный, найден  правильный ответ и правильно написаны единицы измерения.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ind w:firstLine="720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один раз в сессию: 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 сессия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(контрольная работа 1)</w:t>
      </w:r>
      <w:r>
        <w:rPr>
          <w:sz w:val="28"/>
          <w:szCs w:val="28"/>
        </w:rPr>
        <w:t>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 сессия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(контрольная работа 1)</w:t>
      </w:r>
      <w:r>
        <w:rPr>
          <w:sz w:val="28"/>
          <w:szCs w:val="28"/>
        </w:rPr>
        <w:t>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и промежуточной аттестации подводятся по шкале балльно-рейтинговой системы.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бонусов и штрафов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Бонусы: поощрительные баллы студент получает к своему рейтингу в конце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сессии за активную и регулярную работу на занятиях, за 5 баллов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Положению бонус (премиальные баллы) не может превышать </w:t>
      </w:r>
      <w:r>
        <w:rPr>
          <w:b/>
          <w:bCs/>
          <w:sz w:val="28"/>
          <w:szCs w:val="28"/>
        </w:rPr>
        <w:t>5 баллов</w:t>
      </w:r>
      <w:r>
        <w:rPr>
          <w:sz w:val="28"/>
          <w:szCs w:val="28"/>
        </w:rPr>
        <w:t>.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Штрафы: за несвоевременную сдачу реферата максимальная оценка может быть снижена на 20 %;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написании контрольной работы максимальная оценка может быть снижена на 20 % .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проводиться на практических занятиях и включают задачи по предыдущим разделам. Баллы формируются согласно критериям.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дисциплины проводится промежуточная аттестация в виде зачета(экзамена),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Зачет(экзамена)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sz w:val="28"/>
          <w:szCs w:val="28"/>
        </w:rPr>
        <w:t>Оценка сформированности компетенций на зачете(экзамене)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зачете(экзамене).</w:t>
      </w:r>
    </w:p>
    <w:p>
      <w:pPr>
        <w:pStyle w:val="Style95"/>
        <w:widowControl/>
        <w:spacing w:lineRule="auto" w:line="240"/>
        <w:ind w:left="389" w:hanging="389"/>
        <w:rPr>
          <w:rStyle w:val="FontStyle140"/>
          <w:b w:val="false"/>
          <w:b w:val="false"/>
        </w:rPr>
      </w:pPr>
      <w:r>
        <w:rPr>
          <w:b w:val="false"/>
        </w:rPr>
      </w:r>
      <w:bookmarkStart w:id="4" w:name="bookmark10"/>
      <w:bookmarkStart w:id="5" w:name="bookmark10"/>
      <w:bookmarkEnd w:id="5"/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7.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1. АЭС с реактором типа ВВЭР-1000. От физических основ эксплуатации до эволюции проекта : науч. издание / С. А. Андрушечко [и др.]. - М. : Логос, 2010. (150 экз)</w:t>
      </w:r>
    </w:p>
    <w:p>
      <w:pPr>
        <w:pStyle w:val="Style100"/>
        <w:widowControl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Безопасность АЭС с реакторами на быстрых нейтронах. / Под общей редакцией члена-корреспондента АН РФ В.И. Рачкова / Кузнецов И.А., Поплавский В.М. – М.: ИздАт, 2012. – 632 с. (120 экз.)</w:t>
      </w:r>
    </w:p>
    <w:p>
      <w:pPr>
        <w:pStyle w:val="Style100"/>
        <w:widowControl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1.Основы теории и методы расчета ядерных реакторов. Под редакцией Г.А. Батя. Москва, Энергоиздат, 1982. (149 экз)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2.Ганев И.Х. Физика ядерных реакторов. Москва, Энергоатомиздат, 1992.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3. Фейнберг С.М., Шихов С.Б., Троянский В.Б. Теория ядерных реакторов. В 2-х томах.М.: Атомиздат, 1970.(95 экз)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4.Белл Д., Глестон С. Теория ядерных реакторов. Атомизат, 1974. (10 экз)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5.Марчук Г.И. Методы расчета ядерных реакторов. Госатомиздат, 1961.</w:t>
      </w:r>
    </w:p>
    <w:p>
      <w:pPr>
        <w:pStyle w:val="Style100"/>
        <w:widowControl/>
        <w:rPr>
          <w:sz w:val="28"/>
          <w:szCs w:val="28"/>
        </w:rPr>
      </w:pPr>
      <w:r>
        <w:rPr>
          <w:sz w:val="28"/>
          <w:szCs w:val="28"/>
        </w:rPr>
        <w:t>6.Вейнберг А., Вигнер Е. Физическая теория ядерных реакторов. ИЛ, 1961.(1 экз)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Style63"/>
        <w:widowControl/>
        <w:ind w:left="4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3"/>
        <w:widowControl/>
        <w:ind w:left="408" w:hanging="0"/>
        <w:rPr>
          <w:sz w:val="28"/>
          <w:szCs w:val="28"/>
        </w:rPr>
      </w:pPr>
      <w:hyperlink r:id="rId2">
        <w:r>
          <w:rPr>
            <w:b/>
            <w:sz w:val="28"/>
            <w:szCs w:val="28"/>
          </w:rPr>
          <w:t>http://ibooks.ru/</w:t>
        </w:r>
      </w:hyperlink>
    </w:p>
    <w:p>
      <w:pPr>
        <w:pStyle w:val="Style63"/>
        <w:widowControl/>
        <w:ind w:left="408" w:hanging="0"/>
        <w:rPr>
          <w:rStyle w:val="Style13"/>
          <w:b/>
          <w:b/>
          <w:sz w:val="28"/>
          <w:szCs w:val="28"/>
        </w:rPr>
      </w:pPr>
      <w:hyperlink r:id="rId3">
        <w:r>
          <w:rPr>
            <w:b/>
            <w:sz w:val="28"/>
            <w:szCs w:val="28"/>
          </w:rPr>
          <w:t>http://e.lanbook.com/</w:t>
        </w:r>
      </w:hyperlink>
    </w:p>
    <w:p>
      <w:pPr>
        <w:pStyle w:val="Style63"/>
        <w:widowControl/>
        <w:ind w:left="408" w:hanging="0"/>
        <w:rPr>
          <w:rStyle w:val="Style13"/>
          <w:b/>
          <w:b/>
          <w:sz w:val="28"/>
          <w:szCs w:val="28"/>
        </w:rPr>
      </w:pPr>
      <w:hyperlink r:id="rId4">
        <w:r>
          <w:rPr>
            <w:b/>
            <w:sz w:val="28"/>
            <w:szCs w:val="28"/>
          </w:rPr>
          <w:t>http://www.biblio-online.ru/</w:t>
        </w:r>
      </w:hyperlink>
    </w:p>
    <w:p>
      <w:pPr>
        <w:pStyle w:val="Style63"/>
        <w:widowControl/>
        <w:ind w:left="408" w:hanging="0"/>
        <w:rPr>
          <w:rStyle w:val="Style13"/>
          <w:b/>
          <w:b/>
          <w:sz w:val="28"/>
          <w:szCs w:val="28"/>
        </w:rPr>
      </w:pPr>
      <w:hyperlink r:id="rId5">
        <w:r>
          <w:rPr>
            <w:b/>
            <w:sz w:val="28"/>
            <w:szCs w:val="28"/>
          </w:rPr>
          <w:t>http://kuperbook.biblioclub.ru</w:t>
        </w:r>
      </w:hyperlink>
    </w:p>
    <w:p>
      <w:pPr>
        <w:pStyle w:val="Style63"/>
        <w:widowControl/>
        <w:ind w:left="408" w:hanging="0"/>
        <w:rPr>
          <w:rStyle w:val="Style13"/>
          <w:b/>
          <w:b/>
          <w:sz w:val="28"/>
          <w:szCs w:val="28"/>
        </w:rPr>
      </w:pPr>
      <w:hyperlink r:id="rId6">
        <w:r>
          <w:rPr>
            <w:b/>
            <w:sz w:val="28"/>
            <w:szCs w:val="28"/>
          </w:rPr>
          <w:t>http://www.studentlibrary.ru</w:t>
        </w:r>
      </w:hyperlink>
    </w:p>
    <w:p>
      <w:pPr>
        <w:pStyle w:val="Style63"/>
        <w:widowControl/>
        <w:ind w:left="408" w:hanging="0"/>
        <w:rPr>
          <w:sz w:val="28"/>
          <w:szCs w:val="28"/>
        </w:rPr>
      </w:pPr>
      <w:hyperlink r:id="rId7">
        <w:r>
          <w:rPr>
            <w:b/>
            <w:sz w:val="28"/>
            <w:szCs w:val="28"/>
          </w:rPr>
          <w:t>http://library.mephi.ru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tbl>
      <w:tblPr>
        <w:tblW w:w="9923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91"/>
        <w:gridCol w:w="7831"/>
      </w:tblGrid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Практические занятия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color w:val="0070C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практическим занятиям повторить основные понятии и формулы по темам домашнего задания. Решая упражнения и задачи, предварительно понять, какой теоретический материал нужно изучить. Решить типовую задачу из данной темы на доске с преподавателем.  Написать план решения  задач, попробовать на его основе решить 1-2 аналогичные задачи самостоятельно. При возникновении  трудностей с решением или пониманием сформулировать и задач вопросы   преподавателю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511"/>
              <w:widowControl w:val="false"/>
              <w:spacing w:lineRule="auto" w:line="240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Контрольная работа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домашних и индивидуальных заданий необходимо сначала прочитать теорию и изучить примеры по каждой теме. Решая конкретную задачу, предварительно следует понять, что требуется от Вас в данном случае, какой теоретический материал нужно использовать, наметить общую схему решения. Если Вы решали задачу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  <w:tr>
        <w:trPr/>
        <w:tc>
          <w:tcPr>
            <w:tcW w:w="2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ind w:left="5" w:right="139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2"/>
                <w:szCs w:val="22"/>
              </w:rPr>
              <w:t>Подготовка к зачету</w:t>
            </w:r>
            <w:r>
              <w:rPr>
                <w:rStyle w:val="FontStyle137"/>
                <w:sz w:val="22"/>
                <w:szCs w:val="22"/>
                <w:lang w:val="en-US"/>
              </w:rPr>
              <w:t xml:space="preserve">/ </w:t>
            </w:r>
            <w:r>
              <w:rPr>
                <w:rStyle w:val="FontStyle137"/>
                <w:sz w:val="22"/>
                <w:szCs w:val="22"/>
              </w:rPr>
              <w:t>экзамену</w:t>
            </w:r>
          </w:p>
        </w:tc>
        <w:tc>
          <w:tcPr>
            <w:tcW w:w="7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зачету необходимо ориентироваться на конспекты лекций, рекомендуемую литературу, перечень ресурсов сети интернет.</w:t>
            </w:r>
          </w:p>
          <w:p>
            <w:pPr>
              <w:pStyle w:val="Style81"/>
              <w:widowControl w:val="false"/>
              <w:spacing w:lineRule="auto" w:line="240"/>
              <w:ind w:left="5" w:hanging="5"/>
              <w:rPr>
                <w:rStyle w:val="FontStyle137"/>
                <w:color w:val="0070C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Дополнительно к изучению конспектов лекций необходимо пользоваться учебниками по ядерным технологиям. Вместо «заучивания» материала важно добиться понимания изучаемых тем дисциплины. При подготовке к зачету нужно освоить теорию: разобрать определения всех понятий, рассмотреть примеры и самостоятельно решить несколько типовых задач из каждой темы.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Normal"/>
        <w:overflowPunct w:val="true"/>
        <w:ind w:right="-2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Использование электронных презентаций при проведении лекционных и практических занятий.</w:t>
      </w:r>
    </w:p>
    <w:p>
      <w:pPr>
        <w:pStyle w:val="Normal"/>
        <w:overflowPunct w:val="true"/>
        <w:ind w:right="-2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ind w:right="-2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10.2. Перечень программного обеспечения</w:t>
      </w:r>
    </w:p>
    <w:p>
      <w:pPr>
        <w:pStyle w:val="Normal"/>
        <w:overflowPunct w:val="tru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Программы, демонстрации видео материалов (проигрыватель «Windows Media Player»).</w:t>
      </w:r>
    </w:p>
    <w:p>
      <w:pPr>
        <w:pStyle w:val="Normal"/>
        <w:overflowPunct w:val="true"/>
        <w:ind w:right="360" w:hang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Программы для демонстрации и создания презентаций («Microsoft Power Point»).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widowControl/>
        <w:jc w:val="both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Учебная аудитория на 20 мест с мультимедийным оборудованием, программное обеспечение для компьютерных презентаций. Доска. Лабораторные работы проводятся в дисплейном классе 2-321.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>
      <w:pPr>
        <w:pStyle w:val="Normal"/>
        <w:widowControl/>
        <w:rPr>
          <w:rStyle w:val="FontStyle140"/>
          <w:b w:val="false"/>
          <w:b w:val="false"/>
          <w:iCs/>
        </w:rPr>
      </w:pPr>
      <w:r>
        <w:rPr>
          <w:b w:val="false"/>
          <w:iC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83"/>
        <w:gridCol w:w="2376"/>
        <w:gridCol w:w="2653"/>
        <w:gridCol w:w="1560"/>
        <w:gridCol w:w="2849"/>
      </w:tblGrid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темы дисциплины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Количество ак. ч.</w:t>
            </w:r>
          </w:p>
        </w:tc>
        <w:tc>
          <w:tcPr>
            <w:tcW w:w="284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60" w:leader="none"/>
              </w:tabs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Основные конструктивные особенности.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>диспут.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Fonts w:eastAsia="" w:eastAsiaTheme="minorEastAsia"/>
                <w:bCs/>
                <w:sz w:val="28"/>
                <w:szCs w:val="28"/>
              </w:rPr>
              <w:t>Особенности ЯР в привязке к компоновке АЭС.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>диспут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Ядерные реакции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Цепная реакция. Коэффициент размножения.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Ядерный реактор. Энерговыделение в активной зоне.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Выгорание ядерного топлива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Воспроизводство ядерного топлива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Зашлаковывание ядерного топлива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 и нестационарное отравление реактора ксеноном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Стационарное и нестационарное отравление самарием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color w:val="0070C0"/>
                <w:sz w:val="28"/>
                <w:szCs w:val="28"/>
                <w:lang w:eastAsia="ar-SA"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11.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Эффекты реактивности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Лекции</w:t>
            </w:r>
            <w:r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rStyle w:val="FontStyle140"/>
                <w:b w:val="false"/>
                <w:b w:val="false"/>
                <w:iCs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  <w:tr>
        <w:trPr/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12.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b w:val="false"/>
                <w:sz w:val="28"/>
                <w:szCs w:val="28"/>
              </w:rPr>
              <w:t>Кампания реактора</w:t>
            </w:r>
          </w:p>
        </w:tc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лекции </w:t>
            </w:r>
            <w:r>
              <w:rPr>
                <w:rStyle w:val="FontStyle143"/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center"/>
              <w:rPr>
                <w:rStyle w:val="FontStyle140"/>
                <w:b w:val="false"/>
                <w:b w:val="false"/>
                <w:iCs/>
              </w:rPr>
            </w:pPr>
            <w:r>
              <w:rPr>
                <w:rStyle w:val="FontStyle140"/>
                <w:b w:val="false"/>
                <w:iCs/>
              </w:rPr>
              <w:t xml:space="preserve">Лекция, лекция-беседа, </w:t>
            </w:r>
            <w:r>
              <w:rPr>
                <w:rStyle w:val="FontStyle140"/>
                <w:b w:val="false"/>
                <w:bCs w:val="false"/>
                <w:iCs/>
              </w:rPr>
              <w:t xml:space="preserve">диспут, </w:t>
            </w:r>
            <w:r>
              <w:rPr>
                <w:rStyle w:val="FontStyle140"/>
                <w:b w:val="false"/>
                <w:iCs/>
              </w:rPr>
              <w:t>визуальный семинар с разбором конкретных задач</w:t>
            </w:r>
          </w:p>
        </w:tc>
      </w:tr>
    </w:tbl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12.2. Краткий терминологический словарь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АЭС- атомная электростанция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СЦР – самоподдерживающаяся цепная реакция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ТВС –тепловыделяющая сборка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ТВЭЛ – тепловыделяющий элемент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ВВЭР – водо-водяной энергетический реактор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РБМ-К – реактор большой мощности канальный</w:t>
      </w:r>
    </w:p>
    <w:p>
      <w:pPr>
        <w:pStyle w:val="Style22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БН – быстрый натриевый реактор</w:t>
      </w:r>
    </w:p>
    <w:p>
      <w:pPr>
        <w:pStyle w:val="Style22"/>
        <w:widowControl/>
        <w:spacing w:lineRule="auto" w:line="240"/>
        <w:jc w:val="left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УПН – уравнение переноса нейтронов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ЗН – запаздывающие нейтроны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Программу составил:</w:t>
      </w:r>
    </w:p>
    <w:p>
      <w:pPr>
        <w:pStyle w:val="Normal"/>
        <w:rPr/>
      </w:pPr>
      <w:r>
        <w:rPr>
          <w:sz w:val="24"/>
          <w:szCs w:val="24"/>
        </w:rPr>
        <w:t>Д.С. Самохин, к.т.н., доцент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Рецензент: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В.В. Коробейников, д.ф.-м.н., профессор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jc w:val="center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ЛИСТ СОГЛАСОВАНИЯ РАБОЧЕЙ ПРОГРАММЫ ДИСЦИПЛИНЫ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067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Программа рассмотрена на заседании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отделения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ind w:right="-284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(протокол № ____ от «___»_________20__  г.)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Style w:val="FontStyle140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Руководитель образовательной программы</w:t>
            </w: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Ядерная энергетика и теплофизика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А.В. Нахабов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Начальник отделения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ядерной физики и технологий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«__»_____20__  г.</w:t>
              <w:tab/>
              <w:t xml:space="preserve">_____ </w:t>
              <w:tab/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Д.С. Самохин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56"/>
        <w:widowControl/>
        <w:spacing w:lineRule="auto" w:line="240"/>
        <w:jc w:val="center"/>
        <w:rPr>
          <w:rStyle w:val="FontStyle140"/>
        </w:rPr>
      </w:pPr>
      <w:r>
        <w:rPr/>
      </w:r>
    </w:p>
    <w:p>
      <w:pPr>
        <w:pStyle w:val="Style56"/>
        <w:widowControl/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/>
      </w:r>
    </w:p>
    <w:sectPr>
      <w:footerReference w:type="even" r:id="rId8"/>
      <w:footerReference w:type="default" r:id="rId9"/>
      <w:type w:val="nextPage"/>
      <w:pgSz w:w="11906" w:h="16838"/>
      <w:pgMar w:left="1418" w:right="567" w:header="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16</w:t>
    </w:r>
    <w:r>
      <w:rPr>
        <w:rStyle w:val="FontStyle143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 PAGE </w:instrText>
    </w:r>
    <w:r>
      <w:rPr>
        <w:rStyle w:val="FontStyle143"/>
      </w:rPr>
      <w:fldChar w:fldCharType="separate"/>
    </w:r>
    <w:r>
      <w:rPr>
        <w:rStyle w:val="FontStyle143"/>
      </w:rPr>
      <w:t>15</w:t>
    </w:r>
    <w:r>
      <w:rPr>
        <w:rStyle w:val="FontStyle143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8"/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8"/>
        <w:b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8"/>
        <w:b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8"/>
        <w:b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z w:val="28"/>
        <w:b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8"/>
        <w:b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8"/>
        <w:b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z w:val="28"/>
        <w:b/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0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40"/>
    <w:uiPriority w:val="99"/>
    <w:qFormat/>
    <w:rsid w:val="00b32547"/>
    <w:pPr>
      <w:keepNext w:val="true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3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IntenseEmphasis">
    <w:name w:val="Intense Emphasis"/>
    <w:qFormat/>
    <w:rsid w:val="006364db"/>
    <w:rPr>
      <w:b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b32547"/>
    <w:rPr>
      <w:rFonts w:eastAsia="Calibri"/>
      <w:b/>
      <w:bCs/>
      <w:sz w:val="28"/>
      <w:szCs w:val="28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b32547"/>
    <w:rPr>
      <w:sz w:val="24"/>
      <w:szCs w:val="24"/>
    </w:rPr>
  </w:style>
  <w:style w:type="character" w:styleId="Style15" w:customStyle="1">
    <w:name w:val="Основной текст с отступом Знак"/>
    <w:basedOn w:val="DefaultParagraphFont"/>
    <w:link w:val="a9"/>
    <w:uiPriority w:val="99"/>
    <w:semiHidden/>
    <w:qFormat/>
    <w:rsid w:val="00b32547"/>
    <w:rPr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53146b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uiPriority w:val="99"/>
    <w:semiHidden/>
    <w:rsid w:val="00b32547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2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8e2035"/>
    <w:pPr/>
    <w:rPr/>
  </w:style>
  <w:style w:type="paragraph" w:styleId="Style24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uiPriority w:val="99"/>
    <w:qFormat/>
    <w:rsid w:val="00e22ab4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21" w:customStyle="1">
    <w:name w:val="Body Text Indent 21"/>
    <w:basedOn w:val="Normal"/>
    <w:uiPriority w:val="99"/>
    <w:qFormat/>
    <w:rsid w:val="00e22ab4"/>
    <w:pPr>
      <w:widowControl/>
      <w:overflowPunct w:val="true"/>
      <w:ind w:firstLine="567"/>
      <w:jc w:val="both"/>
      <w:textAlignment w:val="baseline"/>
    </w:pPr>
    <w:rPr>
      <w:szCs w:val="20"/>
    </w:rPr>
  </w:style>
  <w:style w:type="paragraph" w:styleId="Default" w:customStyle="1">
    <w:name w:val="Default"/>
    <w:uiPriority w:val="99"/>
    <w:qFormat/>
    <w:rsid w:val="00b325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107">
    <w:name w:val="Body Text Indent"/>
    <w:basedOn w:val="Normal"/>
    <w:link w:val="aa"/>
    <w:uiPriority w:val="99"/>
    <w:semiHidden/>
    <w:rsid w:val="00b32547"/>
    <w:pPr>
      <w:spacing w:before="0" w:after="120"/>
      <w:ind w:left="283" w:hanging="0"/>
    </w:pPr>
    <w:rPr/>
  </w:style>
  <w:style w:type="paragraph" w:styleId="ListBullet">
    <w:name w:val="List Bullet"/>
    <w:basedOn w:val="Normal"/>
    <w:autoRedefine/>
    <w:uiPriority w:val="99"/>
    <w:qFormat/>
    <w:rsid w:val="00b32547"/>
    <w:pPr>
      <w:widowControl/>
    </w:pPr>
    <w:rPr>
      <w:rFonts w:eastAsia="Calibri"/>
      <w:sz w:val="28"/>
      <w:szCs w:val="28"/>
    </w:rPr>
  </w:style>
  <w:style w:type="paragraph" w:styleId="Style108">
    <w:name w:val="Верхний и нижний колонтитулы"/>
    <w:basedOn w:val="Normal"/>
    <w:qFormat/>
    <w:pPr/>
    <w:rPr/>
  </w:style>
  <w:style w:type="paragraph" w:styleId="Style109">
    <w:name w:val="Footer"/>
    <w:basedOn w:val="Style10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books.ru/" TargetMode="External"/><Relationship Id="rId3" Type="http://schemas.openxmlformats.org/officeDocument/2006/relationships/hyperlink" Target="http://e.lanbook.com/" TargetMode="External"/><Relationship Id="rId4" Type="http://schemas.openxmlformats.org/officeDocument/2006/relationships/hyperlink" Target="http://www.biblio-online.ru/" TargetMode="External"/><Relationship Id="rId5" Type="http://schemas.openxmlformats.org/officeDocument/2006/relationships/hyperlink" Target="http://kuperbook.biblioclub.ru/" TargetMode="External"/><Relationship Id="rId6" Type="http://schemas.openxmlformats.org/officeDocument/2006/relationships/hyperlink" Target="http://www.studentlibrary.ru/" TargetMode="External"/><Relationship Id="rId7" Type="http://schemas.openxmlformats.org/officeDocument/2006/relationships/hyperlink" Target="http://library.mephi.ru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D96A-6B84-47EA-B590-7A4D3E86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Application>LibreOffice/7.0.3.1$Windows_X86_64 LibreOffice_project/d7547858d014d4cf69878db179d326fc3483e082</Application>
  <Pages>18</Pages>
  <Words>3579</Words>
  <Characters>24720</Characters>
  <CharactersWithSpaces>27724</CharactersWithSpaces>
  <Paragraphs>593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2015-04-10T09:43:00Z</dcterms:created>
  <dc:creator>Борис Павлович</dc:creator>
  <dc:description/>
  <dc:language>ru-RU</dc:language>
  <cp:lastModifiedBy/>
  <dcterms:modified xsi:type="dcterms:W3CDTF">2022-02-01T16:47:16Z</dcterms:modified>
  <cp:revision>58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